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36DA" w14:textId="6AA1DBED" w:rsidR="00AC4CD4" w:rsidRPr="000A7905" w:rsidRDefault="0006556F" w:rsidP="6E9DFB69">
      <w:pPr>
        <w:spacing w:after="120" w:line="288" w:lineRule="auto"/>
        <w:jc w:val="both"/>
        <w:rPr>
          <w:rFonts w:ascii="Arial" w:eastAsiaTheme="minorEastAsia" w:hAnsi="Arial" w:cs="Arial"/>
          <w:sz w:val="22"/>
          <w:szCs w:val="22"/>
        </w:rPr>
      </w:pPr>
      <w:bookmarkStart w:id="0" w:name="OLE_LINK10"/>
      <w:bookmarkStart w:id="1" w:name="OLE_LINK11"/>
      <w:bookmarkStart w:id="2" w:name="OLE_LINK12"/>
      <w:bookmarkStart w:id="3" w:name="_Hlk124430232"/>
      <w:r w:rsidRPr="000A7905">
        <w:rPr>
          <w:rFonts w:ascii="Arial" w:eastAsiaTheme="minorEastAsia" w:hAnsi="Arial" w:cs="Arial"/>
          <w:sz w:val="22"/>
          <w:szCs w:val="22"/>
        </w:rPr>
        <w:t xml:space="preserve">Mainz, </w:t>
      </w:r>
      <w:r w:rsidR="00F40376" w:rsidRPr="000A7905">
        <w:rPr>
          <w:rFonts w:ascii="Arial" w:eastAsiaTheme="minorEastAsia" w:hAnsi="Arial" w:cs="Arial"/>
          <w:sz w:val="22"/>
          <w:szCs w:val="22"/>
        </w:rPr>
        <w:t>12. Oktober</w:t>
      </w:r>
      <w:r w:rsidR="209A84B8" w:rsidRPr="000A7905">
        <w:rPr>
          <w:rFonts w:ascii="Arial" w:eastAsiaTheme="minorEastAsia" w:hAnsi="Arial" w:cs="Arial"/>
          <w:sz w:val="22"/>
          <w:szCs w:val="22"/>
        </w:rPr>
        <w:t xml:space="preserve"> </w:t>
      </w:r>
      <w:r w:rsidRPr="000A7905">
        <w:rPr>
          <w:rFonts w:ascii="Arial" w:eastAsiaTheme="minorEastAsia" w:hAnsi="Arial" w:cs="Arial"/>
          <w:sz w:val="22"/>
          <w:szCs w:val="22"/>
        </w:rPr>
        <w:t>20</w:t>
      </w:r>
      <w:r w:rsidR="00993689" w:rsidRPr="000A7905">
        <w:rPr>
          <w:rFonts w:ascii="Arial" w:eastAsiaTheme="minorEastAsia" w:hAnsi="Arial" w:cs="Arial"/>
          <w:sz w:val="22"/>
          <w:szCs w:val="22"/>
        </w:rPr>
        <w:t>2</w:t>
      </w:r>
      <w:r w:rsidR="00AF04EB" w:rsidRPr="000A7905">
        <w:rPr>
          <w:rFonts w:ascii="Arial" w:eastAsiaTheme="minorEastAsia" w:hAnsi="Arial" w:cs="Arial"/>
          <w:sz w:val="22"/>
          <w:szCs w:val="22"/>
        </w:rPr>
        <w:t>3</w:t>
      </w:r>
    </w:p>
    <w:p w14:paraId="514853B1" w14:textId="4A5F564D" w:rsidR="00AC4CD4" w:rsidRPr="000A7905" w:rsidRDefault="0006556F" w:rsidP="6E9DFB69">
      <w:pPr>
        <w:spacing w:after="120" w:line="288" w:lineRule="auto"/>
        <w:jc w:val="both"/>
        <w:rPr>
          <w:rFonts w:ascii="Arial" w:eastAsiaTheme="minorEastAsia" w:hAnsi="Arial" w:cs="Arial"/>
          <w:sz w:val="22"/>
          <w:szCs w:val="22"/>
        </w:rPr>
      </w:pPr>
      <w:r w:rsidRPr="000A7905">
        <w:rPr>
          <w:rFonts w:ascii="Arial" w:eastAsiaTheme="minorEastAsia" w:hAnsi="Arial" w:cs="Arial"/>
          <w:sz w:val="22"/>
          <w:szCs w:val="22"/>
        </w:rPr>
        <w:t xml:space="preserve">PD </w:t>
      </w:r>
      <w:r w:rsidR="05F6F9DB" w:rsidRPr="000A7905">
        <w:rPr>
          <w:rFonts w:ascii="Arial" w:eastAsiaTheme="minorEastAsia" w:hAnsi="Arial" w:cs="Arial"/>
          <w:sz w:val="22"/>
          <w:szCs w:val="22"/>
        </w:rPr>
        <w:t>1</w:t>
      </w:r>
      <w:r w:rsidR="00685261" w:rsidRPr="000A7905">
        <w:rPr>
          <w:rFonts w:ascii="Arial" w:eastAsiaTheme="minorEastAsia" w:hAnsi="Arial" w:cs="Arial"/>
          <w:sz w:val="22"/>
          <w:szCs w:val="22"/>
        </w:rPr>
        <w:t>3</w:t>
      </w:r>
      <w:r w:rsidR="00AC4CD4" w:rsidRPr="000A7905">
        <w:rPr>
          <w:rFonts w:ascii="Arial" w:eastAsiaTheme="minorEastAsia" w:hAnsi="Arial" w:cs="Arial"/>
          <w:sz w:val="22"/>
          <w:szCs w:val="22"/>
        </w:rPr>
        <w:t>/</w:t>
      </w:r>
      <w:r w:rsidRPr="000A7905">
        <w:rPr>
          <w:rFonts w:ascii="Arial" w:eastAsiaTheme="minorEastAsia" w:hAnsi="Arial" w:cs="Arial"/>
          <w:sz w:val="22"/>
          <w:szCs w:val="22"/>
        </w:rPr>
        <w:t>20</w:t>
      </w:r>
      <w:r w:rsidR="00993689" w:rsidRPr="000A7905">
        <w:rPr>
          <w:rFonts w:ascii="Arial" w:eastAsiaTheme="minorEastAsia" w:hAnsi="Arial" w:cs="Arial"/>
          <w:sz w:val="22"/>
          <w:szCs w:val="22"/>
        </w:rPr>
        <w:t>2</w:t>
      </w:r>
      <w:r w:rsidR="00AF04EB" w:rsidRPr="000A7905">
        <w:rPr>
          <w:rFonts w:ascii="Arial" w:eastAsiaTheme="minorEastAsia" w:hAnsi="Arial" w:cs="Arial"/>
          <w:sz w:val="22"/>
          <w:szCs w:val="22"/>
        </w:rPr>
        <w:t>3</w:t>
      </w:r>
    </w:p>
    <w:bookmarkEnd w:id="0"/>
    <w:bookmarkEnd w:id="1"/>
    <w:bookmarkEnd w:id="2"/>
    <w:bookmarkEnd w:id="3"/>
    <w:p w14:paraId="13BD5C9D" w14:textId="77777777" w:rsidR="00281A7C" w:rsidRPr="000A7905" w:rsidRDefault="00281A7C" w:rsidP="00281A7C">
      <w:pPr>
        <w:pStyle w:val="StandardWeb"/>
        <w:spacing w:before="0" w:beforeAutospacing="0" w:after="0" w:afterAutospacing="0"/>
        <w:jc w:val="both"/>
        <w:rPr>
          <w:rFonts w:ascii="Arial" w:hAnsi="Arial" w:cs="Arial"/>
          <w:color w:val="1D1D1D"/>
          <w:sz w:val="22"/>
          <w:szCs w:val="22"/>
        </w:rPr>
      </w:pPr>
      <w:r w:rsidRPr="000A7905">
        <w:rPr>
          <w:rFonts w:ascii="Arial" w:hAnsi="Arial" w:cs="Arial"/>
          <w:color w:val="1D1D1D"/>
          <w:sz w:val="22"/>
          <w:szCs w:val="22"/>
          <w:u w:val="single"/>
        </w:rPr>
        <w:t>Tarifrunde der Länder: Forderungsfindung</w:t>
      </w:r>
    </w:p>
    <w:p w14:paraId="6296A2FD" w14:textId="77777777" w:rsidR="00281A7C" w:rsidRPr="000A7905" w:rsidRDefault="00281A7C" w:rsidP="00281A7C">
      <w:pPr>
        <w:pStyle w:val="StandardWeb"/>
        <w:spacing w:before="0" w:beforeAutospacing="0" w:after="0" w:afterAutospacing="0"/>
        <w:jc w:val="both"/>
        <w:rPr>
          <w:rFonts w:ascii="Arial" w:hAnsi="Arial" w:cs="Arial"/>
          <w:color w:val="1D1D1D"/>
          <w:sz w:val="22"/>
          <w:szCs w:val="22"/>
        </w:rPr>
      </w:pPr>
      <w:r w:rsidRPr="000A7905">
        <w:rPr>
          <w:rFonts w:ascii="Arial" w:hAnsi="Arial" w:cs="Arial"/>
          <w:color w:val="1D1D1D"/>
          <w:sz w:val="22"/>
          <w:szCs w:val="22"/>
        </w:rPr>
        <w:t> </w:t>
      </w:r>
    </w:p>
    <w:p w14:paraId="47F7A757" w14:textId="77777777" w:rsidR="00281A7C" w:rsidRPr="000A7905" w:rsidRDefault="00281A7C" w:rsidP="00281A7C">
      <w:pPr>
        <w:jc w:val="both"/>
        <w:rPr>
          <w:rFonts w:ascii="Arial" w:hAnsi="Arial" w:cs="Arial"/>
          <w:color w:val="1D1D1D"/>
          <w:sz w:val="22"/>
          <w:szCs w:val="22"/>
        </w:rPr>
      </w:pPr>
      <w:r w:rsidRPr="000A7905">
        <w:rPr>
          <w:rFonts w:ascii="Arial" w:hAnsi="Arial" w:cs="Arial"/>
          <w:b/>
          <w:bCs/>
          <w:color w:val="1D1D1D"/>
          <w:sz w:val="22"/>
          <w:szCs w:val="22"/>
        </w:rPr>
        <w:t>Gewerkschaften fordern 10,5 Prozent, mindestens jedoch 500 Euro</w:t>
      </w:r>
    </w:p>
    <w:p w14:paraId="02DB8FDF" w14:textId="77777777" w:rsidR="00281A7C" w:rsidRPr="000A7905" w:rsidRDefault="00281A7C" w:rsidP="00281A7C">
      <w:pPr>
        <w:rPr>
          <w:rFonts w:ascii="Arial" w:hAnsi="Arial" w:cs="Arial"/>
          <w:color w:val="1D1D1D"/>
          <w:sz w:val="22"/>
          <w:szCs w:val="22"/>
        </w:rPr>
      </w:pPr>
      <w:r w:rsidRPr="000A7905">
        <w:rPr>
          <w:rFonts w:ascii="Arial" w:hAnsi="Arial" w:cs="Arial"/>
          <w:color w:val="1D1D1D"/>
          <w:sz w:val="22"/>
          <w:szCs w:val="22"/>
        </w:rPr>
        <w:t> </w:t>
      </w:r>
    </w:p>
    <w:p w14:paraId="3C2B1AA1" w14:textId="77777777" w:rsidR="00281A7C" w:rsidRPr="000A7905" w:rsidRDefault="00281A7C" w:rsidP="571299D4">
      <w:pPr>
        <w:rPr>
          <w:rStyle w:val="apple-converted-space"/>
          <w:rFonts w:ascii="Arial" w:hAnsi="Arial" w:cs="Arial"/>
          <w:color w:val="1D1D1D"/>
          <w:sz w:val="22"/>
          <w:szCs w:val="22"/>
        </w:rPr>
      </w:pPr>
      <w:r w:rsidRPr="000A7905">
        <w:rPr>
          <w:rFonts w:ascii="Arial" w:hAnsi="Arial" w:cs="Arial"/>
          <w:color w:val="1D1D1D"/>
          <w:sz w:val="22"/>
          <w:szCs w:val="22"/>
        </w:rPr>
        <w:t xml:space="preserve">Die Gremien des dbb </w:t>
      </w:r>
      <w:proofErr w:type="spellStart"/>
      <w:r w:rsidRPr="000A7905">
        <w:rPr>
          <w:rFonts w:ascii="Arial" w:hAnsi="Arial" w:cs="Arial"/>
          <w:color w:val="1D1D1D"/>
          <w:sz w:val="22"/>
          <w:szCs w:val="22"/>
        </w:rPr>
        <w:t>beamtenbund</w:t>
      </w:r>
      <w:proofErr w:type="spellEnd"/>
      <w:r w:rsidRPr="000A7905">
        <w:rPr>
          <w:rFonts w:ascii="Arial" w:hAnsi="Arial" w:cs="Arial"/>
          <w:color w:val="1D1D1D"/>
          <w:sz w:val="22"/>
          <w:szCs w:val="22"/>
        </w:rPr>
        <w:t xml:space="preserve"> und </w:t>
      </w:r>
      <w:proofErr w:type="spellStart"/>
      <w:r w:rsidRPr="000A7905">
        <w:rPr>
          <w:rFonts w:ascii="Arial" w:hAnsi="Arial" w:cs="Arial"/>
          <w:color w:val="1D1D1D"/>
          <w:sz w:val="22"/>
          <w:szCs w:val="22"/>
        </w:rPr>
        <w:t>tarifunion</w:t>
      </w:r>
      <w:proofErr w:type="spellEnd"/>
      <w:r w:rsidRPr="000A7905">
        <w:rPr>
          <w:rFonts w:ascii="Arial" w:hAnsi="Arial" w:cs="Arial"/>
          <w:color w:val="1D1D1D"/>
          <w:sz w:val="22"/>
          <w:szCs w:val="22"/>
        </w:rPr>
        <w:t>, der Dachorganisation des VBE, haben am 11. Oktober 2023 gemeinsam mit dem Deutschen Gewerkschaftsbund (DGB) und dessen Gremien die Forderungen zur Einkommensrunde 2023 mit der Tarifgemeinschaft deutscher Länder (TdL) beschlossen:</w:t>
      </w:r>
      <w:r w:rsidRPr="000A7905">
        <w:rPr>
          <w:rStyle w:val="apple-converted-space"/>
          <w:rFonts w:ascii="Arial" w:hAnsi="Arial" w:cs="Arial"/>
          <w:color w:val="1D1D1D"/>
          <w:sz w:val="22"/>
          <w:szCs w:val="22"/>
        </w:rPr>
        <w:t> </w:t>
      </w:r>
    </w:p>
    <w:p w14:paraId="3722971E" w14:textId="210A808A" w:rsidR="571299D4" w:rsidRDefault="571299D4" w:rsidP="571299D4">
      <w:pPr>
        <w:rPr>
          <w:rStyle w:val="apple-converted-space"/>
          <w:rFonts w:ascii="Arial" w:hAnsi="Arial" w:cs="Arial"/>
          <w:color w:val="1D1D1D"/>
          <w:sz w:val="22"/>
          <w:szCs w:val="22"/>
        </w:rPr>
      </w:pPr>
    </w:p>
    <w:p w14:paraId="5CA96A4E" w14:textId="77777777" w:rsidR="00281A7C" w:rsidRPr="00281A7C" w:rsidRDefault="00281A7C" w:rsidP="00281A7C">
      <w:pPr>
        <w:numPr>
          <w:ilvl w:val="0"/>
          <w:numId w:val="10"/>
        </w:numPr>
        <w:ind w:left="360"/>
        <w:rPr>
          <w:rFonts w:ascii="Calibri" w:hAnsi="Calibri" w:cs="Calibri"/>
          <w:color w:val="1D1D1D"/>
          <w:sz w:val="22"/>
          <w:szCs w:val="22"/>
        </w:rPr>
      </w:pPr>
      <w:r w:rsidRPr="00281A7C">
        <w:rPr>
          <w:rFonts w:ascii="Arial" w:hAnsi="Arial" w:cs="Arial"/>
          <w:color w:val="1D1D1D"/>
          <w:sz w:val="22"/>
          <w:szCs w:val="22"/>
        </w:rPr>
        <w:t>Die Tabellenentgelte der Beschäftigten sollen um 10,5 Prozent, mindestens aber um 500 Euro monatlich erhöht werden.</w:t>
      </w:r>
    </w:p>
    <w:p w14:paraId="6A601EAE" w14:textId="77777777" w:rsidR="00281A7C" w:rsidRPr="00281A7C" w:rsidRDefault="00281A7C" w:rsidP="00281A7C">
      <w:pPr>
        <w:numPr>
          <w:ilvl w:val="0"/>
          <w:numId w:val="10"/>
        </w:numPr>
        <w:ind w:left="360"/>
        <w:rPr>
          <w:rFonts w:ascii="Calibri" w:hAnsi="Calibri" w:cs="Calibri"/>
          <w:color w:val="1D1D1D"/>
          <w:sz w:val="22"/>
          <w:szCs w:val="22"/>
        </w:rPr>
      </w:pPr>
      <w:r w:rsidRPr="00281A7C">
        <w:rPr>
          <w:rFonts w:ascii="Arial" w:hAnsi="Arial" w:cs="Arial"/>
          <w:color w:val="1D1D1D"/>
          <w:sz w:val="22"/>
          <w:szCs w:val="22"/>
        </w:rPr>
        <w:t>Die Entgelte der Auszubildenden, Studierenden und Praktikantinnen und Praktikanten sollen um 200 Euro monatlich erhöht werden.</w:t>
      </w:r>
    </w:p>
    <w:p w14:paraId="0485EC14" w14:textId="77777777" w:rsidR="00281A7C" w:rsidRPr="00281A7C" w:rsidRDefault="00281A7C" w:rsidP="00281A7C">
      <w:pPr>
        <w:numPr>
          <w:ilvl w:val="0"/>
          <w:numId w:val="10"/>
        </w:numPr>
        <w:ind w:left="360"/>
        <w:rPr>
          <w:rFonts w:ascii="Calibri" w:hAnsi="Calibri" w:cs="Calibri"/>
          <w:color w:val="1D1D1D"/>
          <w:sz w:val="22"/>
          <w:szCs w:val="22"/>
        </w:rPr>
      </w:pPr>
      <w:r w:rsidRPr="00281A7C">
        <w:rPr>
          <w:rFonts w:ascii="Arial" w:hAnsi="Arial" w:cs="Arial"/>
          <w:color w:val="1D1D1D"/>
          <w:sz w:val="22"/>
          <w:szCs w:val="22"/>
        </w:rPr>
        <w:t>Die Laufzeit soll 12 Monate betragen.</w:t>
      </w:r>
    </w:p>
    <w:p w14:paraId="20BE8034" w14:textId="77777777" w:rsidR="00281A7C" w:rsidRPr="00281A7C" w:rsidRDefault="00281A7C" w:rsidP="00281A7C">
      <w:pPr>
        <w:numPr>
          <w:ilvl w:val="0"/>
          <w:numId w:val="10"/>
        </w:numPr>
        <w:ind w:left="360"/>
        <w:rPr>
          <w:rFonts w:ascii="Calibri" w:hAnsi="Calibri" w:cs="Calibri"/>
          <w:color w:val="1D1D1D"/>
          <w:sz w:val="22"/>
          <w:szCs w:val="22"/>
        </w:rPr>
      </w:pPr>
      <w:r w:rsidRPr="571299D4">
        <w:rPr>
          <w:rFonts w:ascii="Arial" w:hAnsi="Arial" w:cs="Arial"/>
          <w:color w:val="1D1D1D"/>
          <w:sz w:val="22"/>
          <w:szCs w:val="22"/>
        </w:rPr>
        <w:t>Unbefristete Übernahme in Vollzeit der Auszubildenden und Dual Studierenden nach erfolgreich abgeschlossener Ausbildung.</w:t>
      </w:r>
    </w:p>
    <w:p w14:paraId="6370C3B9" w14:textId="0A96BA1C" w:rsidR="571299D4" w:rsidRDefault="571299D4" w:rsidP="571299D4">
      <w:pPr>
        <w:rPr>
          <w:rFonts w:ascii="Calibri" w:hAnsi="Calibri" w:cs="Calibri"/>
          <w:color w:val="1D1D1D"/>
          <w:sz w:val="22"/>
          <w:szCs w:val="22"/>
        </w:rPr>
      </w:pPr>
    </w:p>
    <w:p w14:paraId="47490290"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rPr>
        <w:t>Gefordert wird zudem eine zeitgleiche und systemgerechte Übertragung des Verhandlungsergebnisses auf die Beamtinnen und Beamten sowie die Versorgungsempfängerinnen und Versorgungsempfänger der Länder und Kommunen.</w:t>
      </w:r>
      <w:r w:rsidRPr="00281A7C">
        <w:rPr>
          <w:rStyle w:val="apple-converted-space"/>
          <w:rFonts w:ascii="Arial" w:hAnsi="Arial" w:cs="Arial"/>
          <w:color w:val="1D1D1D"/>
          <w:sz w:val="22"/>
          <w:szCs w:val="22"/>
        </w:rPr>
        <w:t> </w:t>
      </w:r>
    </w:p>
    <w:p w14:paraId="56F42694"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rPr>
        <w:t> </w:t>
      </w:r>
    </w:p>
    <w:p w14:paraId="097F2ECB" w14:textId="26181220" w:rsidR="00281A7C" w:rsidRPr="00281A7C" w:rsidRDefault="00281A7C" w:rsidP="571299D4">
      <w:pPr>
        <w:rPr>
          <w:rFonts w:ascii="Calibri" w:hAnsi="Calibri" w:cs="Calibri"/>
          <w:color w:val="1D1D1D"/>
          <w:sz w:val="22"/>
          <w:szCs w:val="22"/>
        </w:rPr>
      </w:pPr>
      <w:r w:rsidRPr="571299D4">
        <w:rPr>
          <w:rFonts w:ascii="Arial" w:hAnsi="Arial" w:cs="Arial"/>
          <w:color w:val="1D1D1D"/>
          <w:sz w:val="22"/>
          <w:szCs w:val="22"/>
        </w:rPr>
        <w:t>Dazu erklärt</w:t>
      </w:r>
      <w:r w:rsidRPr="571299D4">
        <w:rPr>
          <w:rStyle w:val="apple-converted-space"/>
          <w:rFonts w:ascii="Arial" w:hAnsi="Arial" w:cs="Arial"/>
          <w:color w:val="1D1D1D"/>
          <w:sz w:val="22"/>
          <w:szCs w:val="22"/>
        </w:rPr>
        <w:t> </w:t>
      </w:r>
      <w:r w:rsidRPr="571299D4">
        <w:rPr>
          <w:rFonts w:ascii="Arial" w:hAnsi="Arial" w:cs="Arial"/>
          <w:b/>
          <w:bCs/>
          <w:color w:val="1D1D1D"/>
          <w:sz w:val="22"/>
          <w:szCs w:val="22"/>
        </w:rPr>
        <w:t>Rita Mölders</w:t>
      </w:r>
      <w:r w:rsidRPr="571299D4">
        <w:rPr>
          <w:rFonts w:ascii="Arial" w:hAnsi="Arial" w:cs="Arial"/>
          <w:color w:val="1D1D1D"/>
          <w:sz w:val="22"/>
          <w:szCs w:val="22"/>
        </w:rPr>
        <w:t>, stellvertretende Bundesvorsitzende des Verbandes Bildung und Erziehung (VBE), Arbeitsbereich Tarifpolitik:</w:t>
      </w:r>
      <w:r w:rsidR="2882A2A6" w:rsidRPr="571299D4">
        <w:rPr>
          <w:rFonts w:ascii="Arial" w:hAnsi="Arial" w:cs="Arial"/>
          <w:color w:val="1D1D1D"/>
          <w:sz w:val="22"/>
          <w:szCs w:val="22"/>
        </w:rPr>
        <w:t xml:space="preserve"> </w:t>
      </w:r>
      <w:r w:rsidRPr="571299D4">
        <w:rPr>
          <w:rFonts w:ascii="Arial" w:hAnsi="Arial" w:cs="Arial"/>
          <w:color w:val="1D1D1D"/>
          <w:sz w:val="22"/>
          <w:szCs w:val="22"/>
        </w:rPr>
        <w:t xml:space="preserve">„Der VBE sieht 10,5 Prozent mehr als absolut angemessen an. Es gilt, dem immer </w:t>
      </w:r>
      <w:bookmarkStart w:id="4" w:name="_Int_awkcwYgR"/>
      <w:proofErr w:type="gramStart"/>
      <w:r w:rsidRPr="571299D4">
        <w:rPr>
          <w:rFonts w:ascii="Arial" w:hAnsi="Arial" w:cs="Arial"/>
          <w:color w:val="1D1D1D"/>
          <w:sz w:val="22"/>
          <w:szCs w:val="22"/>
        </w:rPr>
        <w:t>weiter</w:t>
      </w:r>
      <w:bookmarkEnd w:id="4"/>
      <w:proofErr w:type="gramEnd"/>
      <w:r w:rsidRPr="571299D4">
        <w:rPr>
          <w:rFonts w:ascii="Arial" w:hAnsi="Arial" w:cs="Arial"/>
          <w:color w:val="1D1D1D"/>
          <w:sz w:val="22"/>
          <w:szCs w:val="22"/>
        </w:rPr>
        <w:t xml:space="preserve"> um sich greifenden Personalmangel an Schulen entgegenzutreten. Denn es ist eine Frage des Marktes, für welche Tätigkeit sich zum Beispiel jene entscheiden, die gerade ihr Studium abgeschlossen haben. Wenn der Öffentliche Dienst nicht liefert, können sie genauso gut und für besseres Geld in der Wirtschaft arbeiten. Nicht zuletzt muss sich die Wertschätzung für die verantwortungsvolle und engagierte Arbeit der Lehrkräfte, des pädagogischen Personals und der Leitungen muss sich in der Bezahlung widerspiegeln. Wir dürfen den Anschluss nicht verlieren! Dafür muss die TdL sorgen.“</w:t>
      </w:r>
    </w:p>
    <w:p w14:paraId="6F32E81A"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rPr>
        <w:t> </w:t>
      </w:r>
    </w:p>
    <w:p w14:paraId="0EFF1CCB" w14:textId="77777777" w:rsidR="00281A7C" w:rsidRPr="00281A7C" w:rsidRDefault="00281A7C" w:rsidP="00281A7C">
      <w:pPr>
        <w:rPr>
          <w:rFonts w:ascii="Calibri" w:hAnsi="Calibri" w:cs="Calibri"/>
          <w:color w:val="1D1D1D"/>
          <w:sz w:val="22"/>
          <w:szCs w:val="22"/>
        </w:rPr>
      </w:pPr>
      <w:r w:rsidRPr="571299D4">
        <w:rPr>
          <w:rFonts w:ascii="Arial" w:hAnsi="Arial" w:cs="Arial"/>
          <w:color w:val="1D1D1D"/>
          <w:sz w:val="22"/>
          <w:szCs w:val="22"/>
        </w:rPr>
        <w:t>Nach wie vor gebe es einen großen Nachholbedarf im Länderbereich. Und dieser werde immer weiter ansteigen, wenn jetzt nichts passiert. Eine volumengleiche Erhöhung, analog zur Höhe des Ergebnisses der Einkommensrunde Bund und Kommunen, welche die Rückstände zum TV-</w:t>
      </w:r>
      <w:proofErr w:type="spellStart"/>
      <w:r w:rsidRPr="571299D4">
        <w:rPr>
          <w:rFonts w:ascii="Arial" w:hAnsi="Arial" w:cs="Arial"/>
          <w:color w:val="1D1D1D"/>
          <w:sz w:val="22"/>
          <w:szCs w:val="22"/>
        </w:rPr>
        <w:t>öD</w:t>
      </w:r>
      <w:proofErr w:type="spellEnd"/>
      <w:r w:rsidRPr="571299D4">
        <w:rPr>
          <w:rFonts w:ascii="Arial" w:hAnsi="Arial" w:cs="Arial"/>
          <w:color w:val="1D1D1D"/>
          <w:sz w:val="22"/>
          <w:szCs w:val="22"/>
        </w:rPr>
        <w:t xml:space="preserve"> ausgleicht und die weitere Teilnahme an der Einkommensentwicklung sichert, ist zwingend notwendig, um hier weiteren Ungerechtigkeiten begegnen zu können.</w:t>
      </w:r>
      <w:r w:rsidRPr="571299D4">
        <w:rPr>
          <w:rStyle w:val="apple-converted-space"/>
          <w:rFonts w:ascii="Arial" w:hAnsi="Arial" w:cs="Arial"/>
          <w:color w:val="1D1D1D"/>
          <w:sz w:val="22"/>
          <w:szCs w:val="22"/>
        </w:rPr>
        <w:t> </w:t>
      </w:r>
    </w:p>
    <w:p w14:paraId="6C004813"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rPr>
        <w:t> </w:t>
      </w:r>
    </w:p>
    <w:p w14:paraId="7E925237" w14:textId="1541CCDD" w:rsidR="00281A7C" w:rsidRDefault="00281A7C" w:rsidP="571299D4">
      <w:pPr>
        <w:rPr>
          <w:rFonts w:ascii="Arial" w:hAnsi="Arial" w:cs="Arial"/>
          <w:color w:val="1D1D1D"/>
          <w:sz w:val="22"/>
          <w:szCs w:val="22"/>
        </w:rPr>
      </w:pPr>
      <w:r w:rsidRPr="571299D4">
        <w:rPr>
          <w:rFonts w:ascii="Arial" w:hAnsi="Arial" w:cs="Arial"/>
          <w:color w:val="1D1D1D"/>
          <w:sz w:val="22"/>
          <w:szCs w:val="22"/>
        </w:rPr>
        <w:t>Die Tarifzuständige des VBE, Rita Mölders, betont die angespannte Ausgangslage</w:t>
      </w:r>
      <w:proofErr w:type="gramStart"/>
      <w:r w:rsidRPr="571299D4">
        <w:rPr>
          <w:rFonts w:ascii="Arial" w:hAnsi="Arial" w:cs="Arial"/>
          <w:color w:val="1D1D1D"/>
          <w:sz w:val="22"/>
          <w:szCs w:val="22"/>
        </w:rPr>
        <w:t>:</w:t>
      </w:r>
      <w:r w:rsidRPr="571299D4">
        <w:rPr>
          <w:rStyle w:val="apple-converted-space"/>
          <w:rFonts w:ascii="Arial" w:hAnsi="Arial" w:cs="Arial"/>
          <w:color w:val="1D1D1D"/>
          <w:sz w:val="22"/>
          <w:szCs w:val="22"/>
        </w:rPr>
        <w:t> </w:t>
      </w:r>
      <w:r w:rsidR="2EE9390A" w:rsidRPr="571299D4">
        <w:rPr>
          <w:rStyle w:val="apple-converted-space"/>
          <w:rFonts w:ascii="Arial" w:hAnsi="Arial" w:cs="Arial"/>
          <w:color w:val="1D1D1D"/>
          <w:sz w:val="22"/>
          <w:szCs w:val="22"/>
        </w:rPr>
        <w:t xml:space="preserve"> </w:t>
      </w:r>
      <w:r w:rsidRPr="571299D4">
        <w:rPr>
          <w:rFonts w:ascii="Arial" w:hAnsi="Arial" w:cs="Arial"/>
          <w:color w:val="1D1D1D"/>
          <w:sz w:val="22"/>
          <w:szCs w:val="22"/>
        </w:rPr>
        <w:t>„</w:t>
      </w:r>
      <w:proofErr w:type="gramEnd"/>
      <w:r w:rsidRPr="571299D4">
        <w:rPr>
          <w:rFonts w:ascii="Arial" w:hAnsi="Arial" w:cs="Arial"/>
          <w:color w:val="1D1D1D"/>
          <w:sz w:val="22"/>
          <w:szCs w:val="22"/>
        </w:rPr>
        <w:t xml:space="preserve">Wir werden uns auf eine schwierige Einkommensrunde einstellen müssen, die Vertreterinnen und Vertreter der TdL werden uns nichts schenken. Es gibt viele Argumente, die für eine deutliche Verbesserung der Arbeitsbedingungen sprechen, darunter die hohe Arbeitsbelastung, der eklatante Personalmangel an Schulen und nicht zuletzt die Reallohnverluste durch die hohe Inflation der vergangenen zwei Jahre. Doch all die Argumente allein werden erwartungsgemäß nicht ausreichen, um faire Bedingungen für die Beschäftigten sicherzustellen und erfolgreich zu sein. Für ein gutes Verhandlungsergebnis in Potsdam braucht es eine starke Geschlossenheit der Mitglieder im VBE. Wir müssen </w:t>
      </w:r>
      <w:r w:rsidRPr="571299D4">
        <w:rPr>
          <w:rFonts w:ascii="Arial" w:hAnsi="Arial" w:cs="Arial"/>
          <w:color w:val="1D1D1D"/>
          <w:sz w:val="22"/>
          <w:szCs w:val="22"/>
        </w:rPr>
        <w:lastRenderedPageBreak/>
        <w:t>zusammenhalten und zeigen, dass wir die Stärke und die Kraft haben, unsere Themen gemeinsam nach vorne zu bringen, wenn notwendig, auch auf der Straße.“</w:t>
      </w:r>
    </w:p>
    <w:p w14:paraId="0E3F8DB5" w14:textId="1C197816" w:rsidR="009C3F31" w:rsidRPr="00281A7C" w:rsidRDefault="009C3F31" w:rsidP="571299D4">
      <w:pPr>
        <w:rPr>
          <w:rFonts w:ascii="Calibri" w:hAnsi="Calibri" w:cs="Calibri"/>
          <w:color w:val="1D1D1D"/>
          <w:sz w:val="22"/>
          <w:szCs w:val="22"/>
        </w:rPr>
      </w:pPr>
    </w:p>
    <w:p w14:paraId="4E691332" w14:textId="77777777" w:rsidR="00281A7C" w:rsidRDefault="00281A7C" w:rsidP="00281A7C">
      <w:pPr>
        <w:rPr>
          <w:rStyle w:val="apple-converted-space"/>
          <w:rFonts w:ascii="Arial" w:hAnsi="Arial" w:cs="Arial"/>
          <w:color w:val="1D1D1D"/>
          <w:sz w:val="22"/>
          <w:szCs w:val="22"/>
        </w:rPr>
      </w:pPr>
      <w:r w:rsidRPr="00281A7C">
        <w:rPr>
          <w:rFonts w:ascii="Arial" w:hAnsi="Arial" w:cs="Arial"/>
          <w:color w:val="1D1D1D"/>
          <w:sz w:val="22"/>
          <w:szCs w:val="22"/>
        </w:rPr>
        <w:t>Sie macht außerdem deutlich, dass selbst eine bessere Bezahlung das Problem des immensen Lehrkräftemangels nicht wird lösen können. Was es auch brauche, sind Absprachen mit der TdL zur Verhandlung einer zeitgemäßen Anpassung der Entgeltordnung für Lehrkräfte und endlich bessere Rahmenbedingungen an Schule.</w:t>
      </w:r>
      <w:r w:rsidRPr="00281A7C">
        <w:rPr>
          <w:rStyle w:val="apple-converted-space"/>
          <w:rFonts w:ascii="Arial" w:hAnsi="Arial" w:cs="Arial"/>
          <w:color w:val="1D1D1D"/>
          <w:sz w:val="22"/>
          <w:szCs w:val="22"/>
        </w:rPr>
        <w:t> </w:t>
      </w:r>
    </w:p>
    <w:p w14:paraId="45CE3F94" w14:textId="1C197816" w:rsidR="009C3F31" w:rsidRPr="00281A7C" w:rsidRDefault="009C3F31" w:rsidP="00281A7C">
      <w:pPr>
        <w:rPr>
          <w:rFonts w:ascii="Calibri" w:hAnsi="Calibri" w:cs="Calibri"/>
          <w:color w:val="1D1D1D"/>
          <w:sz w:val="22"/>
          <w:szCs w:val="22"/>
        </w:rPr>
      </w:pPr>
    </w:p>
    <w:p w14:paraId="301251BD"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rPr>
        <w:t>Weitere Forderungen des VBE:</w:t>
      </w:r>
    </w:p>
    <w:p w14:paraId="49D67AB4" w14:textId="77777777" w:rsidR="00281A7C" w:rsidRPr="00281A7C" w:rsidRDefault="00281A7C" w:rsidP="571299D4">
      <w:pPr>
        <w:pStyle w:val="Listenabsatz"/>
        <w:numPr>
          <w:ilvl w:val="0"/>
          <w:numId w:val="11"/>
        </w:numPr>
        <w:jc w:val="both"/>
        <w:rPr>
          <w:rFonts w:cs="Calibri"/>
          <w:color w:val="1D1D1D"/>
          <w:sz w:val="22"/>
          <w:szCs w:val="22"/>
        </w:rPr>
      </w:pPr>
      <w:r w:rsidRPr="571299D4">
        <w:rPr>
          <w:rFonts w:ascii="Arial" w:hAnsi="Arial" w:cs="Arial"/>
          <w:color w:val="1D1D1D"/>
          <w:sz w:val="22"/>
          <w:szCs w:val="22"/>
        </w:rPr>
        <w:t>stufengleiche Höhergruppierung unter Mitnahme der Stufenlaufzeit</w:t>
      </w:r>
    </w:p>
    <w:p w14:paraId="442E2A53" w14:textId="77777777" w:rsidR="00281A7C" w:rsidRPr="00281A7C" w:rsidRDefault="00281A7C" w:rsidP="00281A7C">
      <w:pPr>
        <w:pStyle w:val="Listenabsatz"/>
        <w:numPr>
          <w:ilvl w:val="0"/>
          <w:numId w:val="11"/>
        </w:numPr>
        <w:contextualSpacing w:val="0"/>
        <w:rPr>
          <w:rFonts w:cs="Calibri"/>
          <w:color w:val="1D1D1D"/>
          <w:sz w:val="22"/>
          <w:szCs w:val="22"/>
        </w:rPr>
      </w:pPr>
      <w:r w:rsidRPr="00281A7C">
        <w:rPr>
          <w:rFonts w:ascii="Arial" w:hAnsi="Arial" w:cs="Arial"/>
          <w:color w:val="1D1D1D"/>
          <w:sz w:val="22"/>
          <w:szCs w:val="22"/>
        </w:rPr>
        <w:t>deutliche Anhebung der Jahressonderzahlung</w:t>
      </w:r>
    </w:p>
    <w:p w14:paraId="3A1A9150" w14:textId="77777777" w:rsidR="00281A7C" w:rsidRPr="00281A7C" w:rsidRDefault="00281A7C" w:rsidP="00281A7C">
      <w:pPr>
        <w:pStyle w:val="Listenabsatz"/>
        <w:numPr>
          <w:ilvl w:val="0"/>
          <w:numId w:val="11"/>
        </w:numPr>
        <w:contextualSpacing w:val="0"/>
        <w:rPr>
          <w:rFonts w:cs="Calibri"/>
          <w:color w:val="1D1D1D"/>
          <w:sz w:val="22"/>
          <w:szCs w:val="22"/>
        </w:rPr>
      </w:pPr>
      <w:r w:rsidRPr="00281A7C">
        <w:rPr>
          <w:rFonts w:ascii="Arial" w:hAnsi="Arial" w:cs="Arial"/>
          <w:color w:val="1D1D1D"/>
          <w:sz w:val="22"/>
          <w:szCs w:val="22"/>
        </w:rPr>
        <w:t>§§ 16,17 TV-L: Stufenregelungen (u.a. schädliche Unterbrechungen abmildern, Anerkennung von einschlägigen, förderlichen Berufserfahrungen, klare Entfristungsregeln)</w:t>
      </w:r>
      <w:r w:rsidRPr="00281A7C">
        <w:rPr>
          <w:rStyle w:val="apple-converted-space"/>
          <w:rFonts w:ascii="Arial" w:hAnsi="Arial" w:cs="Arial"/>
          <w:color w:val="1D1D1D"/>
          <w:sz w:val="22"/>
          <w:szCs w:val="22"/>
        </w:rPr>
        <w:t> </w:t>
      </w:r>
    </w:p>
    <w:p w14:paraId="284577C4"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rPr>
        <w:t> </w:t>
      </w:r>
    </w:p>
    <w:p w14:paraId="0C105B8B"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rPr>
        <w:t> </w:t>
      </w:r>
    </w:p>
    <w:p w14:paraId="6A94A5F5"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u w:val="single"/>
        </w:rPr>
        <w:t>Kontext</w:t>
      </w:r>
      <w:r w:rsidRPr="00281A7C">
        <w:rPr>
          <w:rFonts w:ascii="Arial" w:hAnsi="Arial" w:cs="Arial"/>
          <w:color w:val="1D1D1D"/>
          <w:sz w:val="22"/>
          <w:szCs w:val="22"/>
        </w:rPr>
        <w:t>:</w:t>
      </w:r>
    </w:p>
    <w:p w14:paraId="63AF8643"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rPr>
        <w:t>Für die anstehenden Verhandlungen für den Tarifbereich der Länder (TV-L) sind drei Verhandlungsrunden für den 26. Oktober 2023, den 2. bis 3. November 2023 sowie den 7. bis 9. Dezember 2023 vereinbart.</w:t>
      </w:r>
      <w:r w:rsidRPr="00281A7C">
        <w:rPr>
          <w:rStyle w:val="apple-converted-space"/>
          <w:rFonts w:ascii="Arial" w:hAnsi="Arial" w:cs="Arial"/>
          <w:color w:val="1D1D1D"/>
          <w:sz w:val="22"/>
          <w:szCs w:val="22"/>
        </w:rPr>
        <w:t> </w:t>
      </w:r>
    </w:p>
    <w:p w14:paraId="5FBEA582"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rPr>
        <w:t>Davon sind etwa 3,5 Millionen Beschäftigte betroffen: Direkt ca. 1,1 Millionen Tarifbeschäftigte der Bundesländer (außer Hessen, das eigene Verhandlungen führt), indirekt ca. 1,4 Millionen Beamtinnen und Beamte der entsprechenden Länder und Kommunen sowie rund eine Million Versorgungsempfängerinnen und Versorgungsempfänger.</w:t>
      </w:r>
    </w:p>
    <w:p w14:paraId="2FE05F05" w14:textId="77777777" w:rsidR="00281A7C" w:rsidRPr="00281A7C" w:rsidRDefault="00281A7C" w:rsidP="00281A7C">
      <w:pPr>
        <w:rPr>
          <w:rFonts w:ascii="Calibri" w:hAnsi="Calibri" w:cs="Calibri"/>
          <w:color w:val="1D1D1D"/>
          <w:sz w:val="22"/>
          <w:szCs w:val="22"/>
        </w:rPr>
      </w:pPr>
      <w:r w:rsidRPr="00281A7C">
        <w:rPr>
          <w:rFonts w:ascii="Arial" w:hAnsi="Arial" w:cs="Arial"/>
          <w:color w:val="1D1D1D"/>
          <w:sz w:val="22"/>
          <w:szCs w:val="22"/>
        </w:rPr>
        <w:t> </w:t>
      </w:r>
    </w:p>
    <w:p w14:paraId="020C2202" w14:textId="557D3846" w:rsidR="001F66D0" w:rsidRPr="00401449" w:rsidRDefault="00281A7C" w:rsidP="78C976F2">
      <w:pPr>
        <w:rPr>
          <w:rFonts w:ascii="Calibri" w:hAnsi="Calibri" w:cs="Calibri"/>
          <w:color w:val="1D1D1D"/>
          <w:sz w:val="22"/>
          <w:szCs w:val="22"/>
        </w:rPr>
      </w:pPr>
      <w:r w:rsidRPr="571299D4">
        <w:rPr>
          <w:rFonts w:ascii="Arial" w:hAnsi="Arial" w:cs="Arial"/>
          <w:color w:val="1D1D1D"/>
          <w:sz w:val="22"/>
          <w:szCs w:val="22"/>
        </w:rPr>
        <w:t>Weitere Informationen erhalten Sie auch auf den Seiten unseres Dachverbandes, dem</w:t>
      </w:r>
      <w:r w:rsidR="00401449">
        <w:rPr>
          <w:rFonts w:ascii="Arial" w:hAnsi="Arial" w:cs="Arial"/>
          <w:color w:val="1D1D1D"/>
          <w:sz w:val="22"/>
          <w:szCs w:val="22"/>
        </w:rPr>
        <w:t xml:space="preserve"> </w:t>
      </w:r>
      <w:hyperlink r:id="rId8" w:history="1">
        <w:r w:rsidR="00401449" w:rsidRPr="00401449">
          <w:rPr>
            <w:rStyle w:val="Hyperlink"/>
            <w:rFonts w:ascii="Arial" w:hAnsi="Arial" w:cs="Arial"/>
            <w:sz w:val="22"/>
            <w:szCs w:val="22"/>
          </w:rPr>
          <w:t xml:space="preserve">dbb </w:t>
        </w:r>
        <w:proofErr w:type="spellStart"/>
        <w:r w:rsidR="00401449" w:rsidRPr="00401449">
          <w:rPr>
            <w:rStyle w:val="Hyperlink"/>
            <w:rFonts w:ascii="Arial" w:hAnsi="Arial" w:cs="Arial"/>
            <w:sz w:val="22"/>
            <w:szCs w:val="22"/>
          </w:rPr>
          <w:t>beamtenbund</w:t>
        </w:r>
        <w:proofErr w:type="spellEnd"/>
        <w:r w:rsidR="00401449" w:rsidRPr="00401449">
          <w:rPr>
            <w:rStyle w:val="Hyperlink"/>
            <w:rFonts w:ascii="Arial" w:hAnsi="Arial" w:cs="Arial"/>
            <w:sz w:val="22"/>
            <w:szCs w:val="22"/>
          </w:rPr>
          <w:t xml:space="preserve"> und </w:t>
        </w:r>
        <w:proofErr w:type="spellStart"/>
        <w:r w:rsidR="00401449" w:rsidRPr="00401449">
          <w:rPr>
            <w:rStyle w:val="Hyperlink"/>
            <w:rFonts w:ascii="Arial" w:hAnsi="Arial" w:cs="Arial"/>
            <w:sz w:val="22"/>
            <w:szCs w:val="22"/>
          </w:rPr>
          <w:t>tarifunion</w:t>
        </w:r>
        <w:proofErr w:type="spellEnd"/>
      </w:hyperlink>
      <w:r w:rsidR="00401449">
        <w:rPr>
          <w:rFonts w:ascii="Arial" w:hAnsi="Arial" w:cs="Arial"/>
          <w:color w:val="1D1D1D"/>
          <w:sz w:val="22"/>
          <w:szCs w:val="22"/>
        </w:rPr>
        <w:t>.</w:t>
      </w:r>
    </w:p>
    <w:p w14:paraId="788166DE" w14:textId="172CFAB9" w:rsidR="457A2944" w:rsidRDefault="457A2944" w:rsidP="001F66D0">
      <w:pPr>
        <w:pStyle w:val="xmsonormal"/>
        <w:spacing w:after="240"/>
        <w:rPr>
          <w:rFonts w:asciiTheme="minorHAnsi" w:eastAsiaTheme="minorEastAsia" w:hAnsiTheme="minorHAnsi" w:cstheme="minorBidi"/>
        </w:rPr>
      </w:pPr>
    </w:p>
    <w:sectPr w:rsidR="457A2944" w:rsidSect="007E3F0D">
      <w:headerReference w:type="default" r:id="rId9"/>
      <w:pgSz w:w="11906" w:h="16838"/>
      <w:pgMar w:top="2269"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AD75" w14:textId="77777777" w:rsidR="00B812D2" w:rsidRDefault="00B812D2">
      <w:r>
        <w:separator/>
      </w:r>
    </w:p>
  </w:endnote>
  <w:endnote w:type="continuationSeparator" w:id="0">
    <w:p w14:paraId="65C47095" w14:textId="77777777" w:rsidR="00B812D2" w:rsidRDefault="00B812D2">
      <w:r>
        <w:continuationSeparator/>
      </w:r>
    </w:p>
  </w:endnote>
  <w:endnote w:type="continuationNotice" w:id="1">
    <w:p w14:paraId="3092C23D" w14:textId="77777777" w:rsidR="00B812D2" w:rsidRDefault="00B81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Medium-Roman">
    <w:panose1 w:val="020B0604020202020204"/>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42F8" w14:textId="77777777" w:rsidR="00B812D2" w:rsidRDefault="00B812D2">
      <w:r>
        <w:separator/>
      </w:r>
    </w:p>
  </w:footnote>
  <w:footnote w:type="continuationSeparator" w:id="0">
    <w:p w14:paraId="28DBFD6B" w14:textId="77777777" w:rsidR="00B812D2" w:rsidRDefault="00B812D2">
      <w:r>
        <w:continuationSeparator/>
      </w:r>
    </w:p>
  </w:footnote>
  <w:footnote w:type="continuationNotice" w:id="1">
    <w:p w14:paraId="7C8FFAFF" w14:textId="77777777" w:rsidR="00B812D2" w:rsidRDefault="00B81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B2FF" w14:textId="77777777" w:rsidR="00387CC8" w:rsidRDefault="0079667F">
    <w:pPr>
      <w:pStyle w:val="Kopfzeile"/>
    </w:pPr>
    <w:r>
      <w:rPr>
        <w:noProof/>
      </w:rPr>
      <w:drawing>
        <wp:anchor distT="0" distB="0" distL="114300" distR="114300" simplePos="0" relativeHeight="251658240" behindDoc="1" locked="0" layoutInCell="1" allowOverlap="1" wp14:anchorId="0489230F" wp14:editId="07777777">
          <wp:simplePos x="0" y="0"/>
          <wp:positionH relativeFrom="column">
            <wp:posOffset>-914400</wp:posOffset>
          </wp:positionH>
          <wp:positionV relativeFrom="paragraph">
            <wp:posOffset>-464185</wp:posOffset>
          </wp:positionV>
          <wp:extent cx="7609840" cy="10744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84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awkcwYgR" int2:invalidationBookmarkName="" int2:hashCode="Y3dqZ3+jHZ+CZ1" int2:id="LFhir7c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2ABD"/>
    <w:multiLevelType w:val="hybridMultilevel"/>
    <w:tmpl w:val="F28CAE90"/>
    <w:lvl w:ilvl="0" w:tplc="D1482C6E">
      <w:numFmt w:val="bullet"/>
      <w:lvlText w:val="-"/>
      <w:lvlJc w:val="left"/>
      <w:pPr>
        <w:ind w:left="720" w:hanging="360"/>
      </w:pPr>
      <w:rPr>
        <w:rFonts w:ascii="MetaMedium-Roman" w:eastAsia="Calibri" w:hAnsi="MetaMedium-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E30AB1"/>
    <w:multiLevelType w:val="hybridMultilevel"/>
    <w:tmpl w:val="942ABA9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B509CB"/>
    <w:multiLevelType w:val="hybridMultilevel"/>
    <w:tmpl w:val="DEF88FE4"/>
    <w:lvl w:ilvl="0" w:tplc="04070001">
      <w:start w:val="1"/>
      <w:numFmt w:val="bullet"/>
      <w:lvlText w:val=""/>
      <w:lvlJc w:val="left"/>
      <w:pPr>
        <w:ind w:left="1433" w:hanging="360"/>
      </w:pPr>
      <w:rPr>
        <w:rFonts w:ascii="Symbol" w:hAnsi="Symbol" w:cs="Symbol" w:hint="default"/>
      </w:rPr>
    </w:lvl>
    <w:lvl w:ilvl="1" w:tplc="04070003" w:tentative="1">
      <w:start w:val="1"/>
      <w:numFmt w:val="bullet"/>
      <w:lvlText w:val="o"/>
      <w:lvlJc w:val="left"/>
      <w:pPr>
        <w:ind w:left="2153" w:hanging="360"/>
      </w:pPr>
      <w:rPr>
        <w:rFonts w:ascii="Courier New" w:hAnsi="Courier New" w:cs="Courier New" w:hint="default"/>
      </w:rPr>
    </w:lvl>
    <w:lvl w:ilvl="2" w:tplc="04070005" w:tentative="1">
      <w:start w:val="1"/>
      <w:numFmt w:val="bullet"/>
      <w:lvlText w:val=""/>
      <w:lvlJc w:val="left"/>
      <w:pPr>
        <w:ind w:left="2873" w:hanging="360"/>
      </w:pPr>
      <w:rPr>
        <w:rFonts w:ascii="Wingdings" w:hAnsi="Wingdings" w:cs="Wingdings" w:hint="default"/>
      </w:rPr>
    </w:lvl>
    <w:lvl w:ilvl="3" w:tplc="04070001" w:tentative="1">
      <w:start w:val="1"/>
      <w:numFmt w:val="bullet"/>
      <w:lvlText w:val=""/>
      <w:lvlJc w:val="left"/>
      <w:pPr>
        <w:ind w:left="3593" w:hanging="360"/>
      </w:pPr>
      <w:rPr>
        <w:rFonts w:ascii="Symbol" w:hAnsi="Symbol" w:cs="Symbol" w:hint="default"/>
      </w:rPr>
    </w:lvl>
    <w:lvl w:ilvl="4" w:tplc="04070003" w:tentative="1">
      <w:start w:val="1"/>
      <w:numFmt w:val="bullet"/>
      <w:lvlText w:val="o"/>
      <w:lvlJc w:val="left"/>
      <w:pPr>
        <w:ind w:left="4313" w:hanging="360"/>
      </w:pPr>
      <w:rPr>
        <w:rFonts w:ascii="Courier New" w:hAnsi="Courier New" w:cs="Courier New" w:hint="default"/>
      </w:rPr>
    </w:lvl>
    <w:lvl w:ilvl="5" w:tplc="04070005" w:tentative="1">
      <w:start w:val="1"/>
      <w:numFmt w:val="bullet"/>
      <w:lvlText w:val=""/>
      <w:lvlJc w:val="left"/>
      <w:pPr>
        <w:ind w:left="5033" w:hanging="360"/>
      </w:pPr>
      <w:rPr>
        <w:rFonts w:ascii="Wingdings" w:hAnsi="Wingdings" w:cs="Wingdings" w:hint="default"/>
      </w:rPr>
    </w:lvl>
    <w:lvl w:ilvl="6" w:tplc="04070001" w:tentative="1">
      <w:start w:val="1"/>
      <w:numFmt w:val="bullet"/>
      <w:lvlText w:val=""/>
      <w:lvlJc w:val="left"/>
      <w:pPr>
        <w:ind w:left="5753" w:hanging="360"/>
      </w:pPr>
      <w:rPr>
        <w:rFonts w:ascii="Symbol" w:hAnsi="Symbol" w:cs="Symbol" w:hint="default"/>
      </w:rPr>
    </w:lvl>
    <w:lvl w:ilvl="7" w:tplc="04070003" w:tentative="1">
      <w:start w:val="1"/>
      <w:numFmt w:val="bullet"/>
      <w:lvlText w:val="o"/>
      <w:lvlJc w:val="left"/>
      <w:pPr>
        <w:ind w:left="6473" w:hanging="360"/>
      </w:pPr>
      <w:rPr>
        <w:rFonts w:ascii="Courier New" w:hAnsi="Courier New" w:cs="Courier New" w:hint="default"/>
      </w:rPr>
    </w:lvl>
    <w:lvl w:ilvl="8" w:tplc="04070005" w:tentative="1">
      <w:start w:val="1"/>
      <w:numFmt w:val="bullet"/>
      <w:lvlText w:val=""/>
      <w:lvlJc w:val="left"/>
      <w:pPr>
        <w:ind w:left="7193" w:hanging="360"/>
      </w:pPr>
      <w:rPr>
        <w:rFonts w:ascii="Wingdings" w:hAnsi="Wingdings" w:cs="Wingdings" w:hint="default"/>
      </w:rPr>
    </w:lvl>
  </w:abstractNum>
  <w:abstractNum w:abstractNumId="3" w15:restartNumberingAfterBreak="0">
    <w:nsid w:val="27D3070A"/>
    <w:multiLevelType w:val="hybridMultilevel"/>
    <w:tmpl w:val="816C7F26"/>
    <w:lvl w:ilvl="0" w:tplc="71B22F4A">
      <w:numFmt w:val="bullet"/>
      <w:lvlText w:val="-"/>
      <w:lvlJc w:val="left"/>
      <w:pPr>
        <w:ind w:left="720" w:hanging="360"/>
      </w:pPr>
      <w:rPr>
        <w:rFonts w:ascii="MetaMedium-Roman" w:eastAsia="Times New Roman" w:hAnsi="MetaMedium-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E46F23"/>
    <w:multiLevelType w:val="hybridMultilevel"/>
    <w:tmpl w:val="AE101D18"/>
    <w:lvl w:ilvl="0" w:tplc="1CFAFA1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38B700D"/>
    <w:multiLevelType w:val="multilevel"/>
    <w:tmpl w:val="F27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26790A"/>
    <w:multiLevelType w:val="multilevel"/>
    <w:tmpl w:val="8068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0C4DE2"/>
    <w:multiLevelType w:val="hybridMultilevel"/>
    <w:tmpl w:val="2076B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97524B"/>
    <w:multiLevelType w:val="hybridMultilevel"/>
    <w:tmpl w:val="61486A16"/>
    <w:lvl w:ilvl="0" w:tplc="4A586BC8">
      <w:numFmt w:val="bullet"/>
      <w:lvlText w:val="-"/>
      <w:lvlJc w:val="left"/>
      <w:pPr>
        <w:ind w:left="720" w:hanging="360"/>
      </w:pPr>
      <w:rPr>
        <w:rFonts w:ascii="MetaMedium-Roman" w:eastAsia="Times New Roman" w:hAnsi="MetaMedium-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67548A"/>
    <w:multiLevelType w:val="hybridMultilevel"/>
    <w:tmpl w:val="2BA6FA20"/>
    <w:lvl w:ilvl="0" w:tplc="8654DA6E">
      <w:start w:val="1"/>
      <w:numFmt w:val="decimal"/>
      <w:lvlText w:val="%1)"/>
      <w:lvlJc w:val="left"/>
      <w:pPr>
        <w:ind w:left="720" w:hanging="360"/>
      </w:pPr>
      <w:rPr>
        <w:rFonts w:ascii="MetaMedium-Roman" w:hAnsi="MetaMedium-Roman"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3B78DE"/>
    <w:multiLevelType w:val="hybridMultilevel"/>
    <w:tmpl w:val="A7B6A526"/>
    <w:lvl w:ilvl="0" w:tplc="6042420E">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1910043">
    <w:abstractNumId w:val="1"/>
  </w:num>
  <w:num w:numId="2" w16cid:durableId="1313559311">
    <w:abstractNumId w:val="9"/>
  </w:num>
  <w:num w:numId="3" w16cid:durableId="946306147">
    <w:abstractNumId w:val="8"/>
  </w:num>
  <w:num w:numId="4" w16cid:durableId="968390435">
    <w:abstractNumId w:val="0"/>
  </w:num>
  <w:num w:numId="5" w16cid:durableId="1304119222">
    <w:abstractNumId w:val="2"/>
  </w:num>
  <w:num w:numId="6" w16cid:durableId="1539508252">
    <w:abstractNumId w:val="3"/>
  </w:num>
  <w:num w:numId="7" w16cid:durableId="1559824647">
    <w:abstractNumId w:val="4"/>
  </w:num>
  <w:num w:numId="8" w16cid:durableId="338241046">
    <w:abstractNumId w:val="7"/>
  </w:num>
  <w:num w:numId="9" w16cid:durableId="1272972247">
    <w:abstractNumId w:val="10"/>
  </w:num>
  <w:num w:numId="10" w16cid:durableId="1038318692">
    <w:abstractNumId w:val="5"/>
  </w:num>
  <w:num w:numId="11" w16cid:durableId="155268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18"/>
    <w:rsid w:val="0000137E"/>
    <w:rsid w:val="00004699"/>
    <w:rsid w:val="00011077"/>
    <w:rsid w:val="00034B52"/>
    <w:rsid w:val="00050504"/>
    <w:rsid w:val="000571B6"/>
    <w:rsid w:val="0006556F"/>
    <w:rsid w:val="0007432A"/>
    <w:rsid w:val="000803BB"/>
    <w:rsid w:val="00082A0B"/>
    <w:rsid w:val="000831C6"/>
    <w:rsid w:val="000A1E03"/>
    <w:rsid w:val="000A5318"/>
    <w:rsid w:val="000A7905"/>
    <w:rsid w:val="000C480C"/>
    <w:rsid w:val="000C6DFE"/>
    <w:rsid w:val="000D21B8"/>
    <w:rsid w:val="000D6CC1"/>
    <w:rsid w:val="000F3233"/>
    <w:rsid w:val="0010603B"/>
    <w:rsid w:val="00112790"/>
    <w:rsid w:val="00115C54"/>
    <w:rsid w:val="0011673D"/>
    <w:rsid w:val="001237FA"/>
    <w:rsid w:val="00124FDE"/>
    <w:rsid w:val="0014162D"/>
    <w:rsid w:val="0014671F"/>
    <w:rsid w:val="00152977"/>
    <w:rsid w:val="00153495"/>
    <w:rsid w:val="0016177D"/>
    <w:rsid w:val="00161C0E"/>
    <w:rsid w:val="001671BB"/>
    <w:rsid w:val="00171DDF"/>
    <w:rsid w:val="001867C8"/>
    <w:rsid w:val="00190CAB"/>
    <w:rsid w:val="001A43CC"/>
    <w:rsid w:val="001A7B0A"/>
    <w:rsid w:val="001B386E"/>
    <w:rsid w:val="001D6225"/>
    <w:rsid w:val="001E4D26"/>
    <w:rsid w:val="001E5C20"/>
    <w:rsid w:val="001E6C87"/>
    <w:rsid w:val="001F241F"/>
    <w:rsid w:val="001F3430"/>
    <w:rsid w:val="001F52C2"/>
    <w:rsid w:val="001F66D0"/>
    <w:rsid w:val="0021304A"/>
    <w:rsid w:val="00222A4F"/>
    <w:rsid w:val="0023179B"/>
    <w:rsid w:val="00241101"/>
    <w:rsid w:val="002420C8"/>
    <w:rsid w:val="0024617C"/>
    <w:rsid w:val="00246DEA"/>
    <w:rsid w:val="002504E0"/>
    <w:rsid w:val="00255565"/>
    <w:rsid w:val="0027062F"/>
    <w:rsid w:val="00273EE6"/>
    <w:rsid w:val="002801D0"/>
    <w:rsid w:val="00281A7C"/>
    <w:rsid w:val="00281ECD"/>
    <w:rsid w:val="00287AA6"/>
    <w:rsid w:val="00290AE2"/>
    <w:rsid w:val="00290E6F"/>
    <w:rsid w:val="002918C6"/>
    <w:rsid w:val="002B3763"/>
    <w:rsid w:val="002B5E85"/>
    <w:rsid w:val="002D1870"/>
    <w:rsid w:val="002D1EB9"/>
    <w:rsid w:val="002D6822"/>
    <w:rsid w:val="002E062E"/>
    <w:rsid w:val="002E4918"/>
    <w:rsid w:val="002E757F"/>
    <w:rsid w:val="002F1711"/>
    <w:rsid w:val="002F3C3B"/>
    <w:rsid w:val="003177DF"/>
    <w:rsid w:val="00322743"/>
    <w:rsid w:val="00337B15"/>
    <w:rsid w:val="0035334B"/>
    <w:rsid w:val="00355937"/>
    <w:rsid w:val="00364667"/>
    <w:rsid w:val="00377E43"/>
    <w:rsid w:val="00377ED4"/>
    <w:rsid w:val="00383755"/>
    <w:rsid w:val="0038781E"/>
    <w:rsid w:val="00387CC8"/>
    <w:rsid w:val="0039563A"/>
    <w:rsid w:val="003960CE"/>
    <w:rsid w:val="003968A0"/>
    <w:rsid w:val="003A00E9"/>
    <w:rsid w:val="003B0713"/>
    <w:rsid w:val="003B517C"/>
    <w:rsid w:val="003B5D49"/>
    <w:rsid w:val="003B69A4"/>
    <w:rsid w:val="003C37DD"/>
    <w:rsid w:val="003C4E6C"/>
    <w:rsid w:val="003C4F11"/>
    <w:rsid w:val="003D7ADC"/>
    <w:rsid w:val="003E0122"/>
    <w:rsid w:val="003E1AAD"/>
    <w:rsid w:val="00401449"/>
    <w:rsid w:val="00417C3B"/>
    <w:rsid w:val="00421F19"/>
    <w:rsid w:val="004376B4"/>
    <w:rsid w:val="0044300A"/>
    <w:rsid w:val="00462204"/>
    <w:rsid w:val="00465163"/>
    <w:rsid w:val="004804F8"/>
    <w:rsid w:val="00484C0D"/>
    <w:rsid w:val="004900D8"/>
    <w:rsid w:val="00491839"/>
    <w:rsid w:val="004C7A1E"/>
    <w:rsid w:val="004E59D9"/>
    <w:rsid w:val="004F43A6"/>
    <w:rsid w:val="005030C1"/>
    <w:rsid w:val="0051189B"/>
    <w:rsid w:val="00531B3B"/>
    <w:rsid w:val="00533960"/>
    <w:rsid w:val="00534A7C"/>
    <w:rsid w:val="00536D14"/>
    <w:rsid w:val="00546BF0"/>
    <w:rsid w:val="00555329"/>
    <w:rsid w:val="005567AF"/>
    <w:rsid w:val="00561307"/>
    <w:rsid w:val="00563868"/>
    <w:rsid w:val="00571836"/>
    <w:rsid w:val="005836A7"/>
    <w:rsid w:val="00584964"/>
    <w:rsid w:val="005920E0"/>
    <w:rsid w:val="00597CE7"/>
    <w:rsid w:val="005B59A7"/>
    <w:rsid w:val="005C1FB5"/>
    <w:rsid w:val="005C2BDD"/>
    <w:rsid w:val="005D2B20"/>
    <w:rsid w:val="005D3724"/>
    <w:rsid w:val="005D5CE8"/>
    <w:rsid w:val="005F7CA8"/>
    <w:rsid w:val="00611E3A"/>
    <w:rsid w:val="00612DAE"/>
    <w:rsid w:val="00622F47"/>
    <w:rsid w:val="00641DEE"/>
    <w:rsid w:val="006515AD"/>
    <w:rsid w:val="00660DA4"/>
    <w:rsid w:val="00662088"/>
    <w:rsid w:val="00672284"/>
    <w:rsid w:val="00672409"/>
    <w:rsid w:val="00676825"/>
    <w:rsid w:val="006800F0"/>
    <w:rsid w:val="00685261"/>
    <w:rsid w:val="006A19FE"/>
    <w:rsid w:val="006C165A"/>
    <w:rsid w:val="006C7BA6"/>
    <w:rsid w:val="006C7BAF"/>
    <w:rsid w:val="006D307B"/>
    <w:rsid w:val="006D6B94"/>
    <w:rsid w:val="006F53BC"/>
    <w:rsid w:val="00707DAB"/>
    <w:rsid w:val="007107BC"/>
    <w:rsid w:val="00716B21"/>
    <w:rsid w:val="007305D1"/>
    <w:rsid w:val="0074560E"/>
    <w:rsid w:val="00756612"/>
    <w:rsid w:val="00782E10"/>
    <w:rsid w:val="00787738"/>
    <w:rsid w:val="0079667F"/>
    <w:rsid w:val="007A492E"/>
    <w:rsid w:val="007A6B39"/>
    <w:rsid w:val="007B1971"/>
    <w:rsid w:val="007B5125"/>
    <w:rsid w:val="007B60FE"/>
    <w:rsid w:val="007B6188"/>
    <w:rsid w:val="007B7430"/>
    <w:rsid w:val="007C53F2"/>
    <w:rsid w:val="007D39A5"/>
    <w:rsid w:val="007E046B"/>
    <w:rsid w:val="007E3993"/>
    <w:rsid w:val="007E3F0D"/>
    <w:rsid w:val="007F6056"/>
    <w:rsid w:val="00801C08"/>
    <w:rsid w:val="00813D36"/>
    <w:rsid w:val="00821C09"/>
    <w:rsid w:val="008336A4"/>
    <w:rsid w:val="00835EBF"/>
    <w:rsid w:val="00851669"/>
    <w:rsid w:val="008567B8"/>
    <w:rsid w:val="00863899"/>
    <w:rsid w:val="00871920"/>
    <w:rsid w:val="00887675"/>
    <w:rsid w:val="008B53D6"/>
    <w:rsid w:val="008B6847"/>
    <w:rsid w:val="008C3C76"/>
    <w:rsid w:val="008C551B"/>
    <w:rsid w:val="008D0B47"/>
    <w:rsid w:val="008F1699"/>
    <w:rsid w:val="008F658C"/>
    <w:rsid w:val="009274FA"/>
    <w:rsid w:val="00933D6F"/>
    <w:rsid w:val="00935516"/>
    <w:rsid w:val="00935CC0"/>
    <w:rsid w:val="0094060E"/>
    <w:rsid w:val="00940B9F"/>
    <w:rsid w:val="00953BAD"/>
    <w:rsid w:val="00961122"/>
    <w:rsid w:val="00962CD7"/>
    <w:rsid w:val="00963789"/>
    <w:rsid w:val="00967215"/>
    <w:rsid w:val="0098104E"/>
    <w:rsid w:val="00992715"/>
    <w:rsid w:val="00993689"/>
    <w:rsid w:val="009A1B13"/>
    <w:rsid w:val="009B05CF"/>
    <w:rsid w:val="009B2F1A"/>
    <w:rsid w:val="009C3F31"/>
    <w:rsid w:val="009C6347"/>
    <w:rsid w:val="009D0A87"/>
    <w:rsid w:val="009E1EA4"/>
    <w:rsid w:val="009E6BE6"/>
    <w:rsid w:val="00A21D33"/>
    <w:rsid w:val="00A2335C"/>
    <w:rsid w:val="00A41F9D"/>
    <w:rsid w:val="00A71C34"/>
    <w:rsid w:val="00A75519"/>
    <w:rsid w:val="00A76A4E"/>
    <w:rsid w:val="00AB15AB"/>
    <w:rsid w:val="00AB2FA8"/>
    <w:rsid w:val="00AC1C79"/>
    <w:rsid w:val="00AC409B"/>
    <w:rsid w:val="00AC4CD4"/>
    <w:rsid w:val="00AE399C"/>
    <w:rsid w:val="00AF04EB"/>
    <w:rsid w:val="00AF4ACB"/>
    <w:rsid w:val="00B0565E"/>
    <w:rsid w:val="00B06DF8"/>
    <w:rsid w:val="00B070A3"/>
    <w:rsid w:val="00B0716F"/>
    <w:rsid w:val="00B1745A"/>
    <w:rsid w:val="00B24BB8"/>
    <w:rsid w:val="00B25074"/>
    <w:rsid w:val="00B30B58"/>
    <w:rsid w:val="00B344C2"/>
    <w:rsid w:val="00B36A9D"/>
    <w:rsid w:val="00B37FEF"/>
    <w:rsid w:val="00B57E80"/>
    <w:rsid w:val="00B60666"/>
    <w:rsid w:val="00B812D2"/>
    <w:rsid w:val="00B84088"/>
    <w:rsid w:val="00B8527A"/>
    <w:rsid w:val="00B86F64"/>
    <w:rsid w:val="00B971BB"/>
    <w:rsid w:val="00BA449B"/>
    <w:rsid w:val="00BA68D4"/>
    <w:rsid w:val="00BB4E60"/>
    <w:rsid w:val="00BB7B98"/>
    <w:rsid w:val="00BC5CCB"/>
    <w:rsid w:val="00BE5096"/>
    <w:rsid w:val="00BE7B53"/>
    <w:rsid w:val="00BF179F"/>
    <w:rsid w:val="00C01AFD"/>
    <w:rsid w:val="00C02172"/>
    <w:rsid w:val="00C16561"/>
    <w:rsid w:val="00C31484"/>
    <w:rsid w:val="00C4205B"/>
    <w:rsid w:val="00C5039B"/>
    <w:rsid w:val="00C55144"/>
    <w:rsid w:val="00C713EA"/>
    <w:rsid w:val="00C71AA3"/>
    <w:rsid w:val="00CA2288"/>
    <w:rsid w:val="00CA436E"/>
    <w:rsid w:val="00CA74C5"/>
    <w:rsid w:val="00CB0042"/>
    <w:rsid w:val="00CB79A9"/>
    <w:rsid w:val="00CC024F"/>
    <w:rsid w:val="00CC12D9"/>
    <w:rsid w:val="00CC2BD7"/>
    <w:rsid w:val="00CC41C4"/>
    <w:rsid w:val="00CE55A6"/>
    <w:rsid w:val="00CE573F"/>
    <w:rsid w:val="00D175AA"/>
    <w:rsid w:val="00D316C2"/>
    <w:rsid w:val="00D328AC"/>
    <w:rsid w:val="00D33B71"/>
    <w:rsid w:val="00D3435D"/>
    <w:rsid w:val="00D407F6"/>
    <w:rsid w:val="00D57FA7"/>
    <w:rsid w:val="00D60065"/>
    <w:rsid w:val="00D77AA3"/>
    <w:rsid w:val="00D77F50"/>
    <w:rsid w:val="00D817B6"/>
    <w:rsid w:val="00D9289A"/>
    <w:rsid w:val="00D933F8"/>
    <w:rsid w:val="00D94677"/>
    <w:rsid w:val="00DB31E9"/>
    <w:rsid w:val="00DB7047"/>
    <w:rsid w:val="00DC4C54"/>
    <w:rsid w:val="00DC5C36"/>
    <w:rsid w:val="00DD10F8"/>
    <w:rsid w:val="00DD7B41"/>
    <w:rsid w:val="00DE5E38"/>
    <w:rsid w:val="00DF5CDE"/>
    <w:rsid w:val="00E03E7F"/>
    <w:rsid w:val="00E30B10"/>
    <w:rsid w:val="00E36874"/>
    <w:rsid w:val="00E52684"/>
    <w:rsid w:val="00E55E75"/>
    <w:rsid w:val="00E73676"/>
    <w:rsid w:val="00E827FD"/>
    <w:rsid w:val="00E83FA6"/>
    <w:rsid w:val="00E9168A"/>
    <w:rsid w:val="00EA3DAA"/>
    <w:rsid w:val="00EB571E"/>
    <w:rsid w:val="00EB5EE2"/>
    <w:rsid w:val="00EB7CB0"/>
    <w:rsid w:val="00EC3E41"/>
    <w:rsid w:val="00EC6F9D"/>
    <w:rsid w:val="00ED1DF4"/>
    <w:rsid w:val="00ED6576"/>
    <w:rsid w:val="00EE401A"/>
    <w:rsid w:val="00EE5146"/>
    <w:rsid w:val="00EF3458"/>
    <w:rsid w:val="00EF631E"/>
    <w:rsid w:val="00F00B97"/>
    <w:rsid w:val="00F02E1C"/>
    <w:rsid w:val="00F125AF"/>
    <w:rsid w:val="00F21E12"/>
    <w:rsid w:val="00F26299"/>
    <w:rsid w:val="00F2709C"/>
    <w:rsid w:val="00F3725F"/>
    <w:rsid w:val="00F40376"/>
    <w:rsid w:val="00F62EB9"/>
    <w:rsid w:val="00F62EDB"/>
    <w:rsid w:val="00F66CEA"/>
    <w:rsid w:val="00F72154"/>
    <w:rsid w:val="00F73FF3"/>
    <w:rsid w:val="00F767F7"/>
    <w:rsid w:val="00F805C8"/>
    <w:rsid w:val="00F961AB"/>
    <w:rsid w:val="00F97529"/>
    <w:rsid w:val="00FA199E"/>
    <w:rsid w:val="00FB0802"/>
    <w:rsid w:val="00FB2329"/>
    <w:rsid w:val="00FB2B00"/>
    <w:rsid w:val="00FC3772"/>
    <w:rsid w:val="00FC62AB"/>
    <w:rsid w:val="00FC63BC"/>
    <w:rsid w:val="00FD5F43"/>
    <w:rsid w:val="00FF41CF"/>
    <w:rsid w:val="00FF62F3"/>
    <w:rsid w:val="03641C2C"/>
    <w:rsid w:val="05F6F9DB"/>
    <w:rsid w:val="0823056F"/>
    <w:rsid w:val="09871DA9"/>
    <w:rsid w:val="09BED5D0"/>
    <w:rsid w:val="0A1FDC83"/>
    <w:rsid w:val="0C84E6C8"/>
    <w:rsid w:val="0E9BAD88"/>
    <w:rsid w:val="0EF0DC2E"/>
    <w:rsid w:val="0FC0CCEF"/>
    <w:rsid w:val="10BCBFF7"/>
    <w:rsid w:val="133A5254"/>
    <w:rsid w:val="14E03626"/>
    <w:rsid w:val="1547DAC7"/>
    <w:rsid w:val="17FE1064"/>
    <w:rsid w:val="1AA24AD0"/>
    <w:rsid w:val="1CBDDA22"/>
    <w:rsid w:val="1DE074A6"/>
    <w:rsid w:val="1E3EC879"/>
    <w:rsid w:val="1FDA98DA"/>
    <w:rsid w:val="2011ADF6"/>
    <w:rsid w:val="204A0AAC"/>
    <w:rsid w:val="209A84B8"/>
    <w:rsid w:val="21AD7E57"/>
    <w:rsid w:val="24567676"/>
    <w:rsid w:val="24BD0412"/>
    <w:rsid w:val="253FE466"/>
    <w:rsid w:val="25D0F486"/>
    <w:rsid w:val="26FE9F58"/>
    <w:rsid w:val="270CD872"/>
    <w:rsid w:val="28778528"/>
    <w:rsid w:val="2882A2A6"/>
    <w:rsid w:val="2AA465A9"/>
    <w:rsid w:val="2EE9390A"/>
    <w:rsid w:val="2F8ED1CA"/>
    <w:rsid w:val="306E5A56"/>
    <w:rsid w:val="32BB006F"/>
    <w:rsid w:val="3402F7FC"/>
    <w:rsid w:val="34533575"/>
    <w:rsid w:val="38B40538"/>
    <w:rsid w:val="3C9FE44A"/>
    <w:rsid w:val="3FD7850C"/>
    <w:rsid w:val="407082B2"/>
    <w:rsid w:val="445030E2"/>
    <w:rsid w:val="4469593F"/>
    <w:rsid w:val="457A2944"/>
    <w:rsid w:val="45F3EEC9"/>
    <w:rsid w:val="4787D1A4"/>
    <w:rsid w:val="4923A205"/>
    <w:rsid w:val="492B8F8B"/>
    <w:rsid w:val="4AC75FEC"/>
    <w:rsid w:val="4C5B42C7"/>
    <w:rsid w:val="4D17F09E"/>
    <w:rsid w:val="4EEAD61B"/>
    <w:rsid w:val="53325895"/>
    <w:rsid w:val="550A6209"/>
    <w:rsid w:val="571299D4"/>
    <w:rsid w:val="57A5882C"/>
    <w:rsid w:val="59DD4B49"/>
    <w:rsid w:val="5AFA358A"/>
    <w:rsid w:val="5B9AC678"/>
    <w:rsid w:val="5E5C75F5"/>
    <w:rsid w:val="61A5257A"/>
    <w:rsid w:val="6487EF73"/>
    <w:rsid w:val="6757C14F"/>
    <w:rsid w:val="68C882D0"/>
    <w:rsid w:val="6B972CFA"/>
    <w:rsid w:val="6BB246AE"/>
    <w:rsid w:val="6E9DFB69"/>
    <w:rsid w:val="6EB5A55F"/>
    <w:rsid w:val="70888ADC"/>
    <w:rsid w:val="71897A63"/>
    <w:rsid w:val="7474EBEF"/>
    <w:rsid w:val="7524E6E3"/>
    <w:rsid w:val="755BFBFF"/>
    <w:rsid w:val="759CDFF6"/>
    <w:rsid w:val="78C976F2"/>
    <w:rsid w:val="79921E42"/>
    <w:rsid w:val="7BA3ACF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F354"/>
  <w15:chartTrackingRefBased/>
  <w15:docId w15:val="{998C1D25-C808-47EC-8BF7-7DDFD598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A5318"/>
    <w:pPr>
      <w:tabs>
        <w:tab w:val="center" w:pos="4536"/>
        <w:tab w:val="right" w:pos="9072"/>
      </w:tabs>
    </w:pPr>
  </w:style>
  <w:style w:type="paragraph" w:styleId="Fuzeile">
    <w:name w:val="footer"/>
    <w:basedOn w:val="Standard"/>
    <w:rsid w:val="000A5318"/>
    <w:pPr>
      <w:tabs>
        <w:tab w:val="center" w:pos="4536"/>
        <w:tab w:val="right" w:pos="9072"/>
      </w:tabs>
    </w:pPr>
  </w:style>
  <w:style w:type="character" w:customStyle="1" w:styleId="st">
    <w:name w:val="st"/>
    <w:basedOn w:val="Absatz-Standardschriftart"/>
    <w:rsid w:val="00112790"/>
  </w:style>
  <w:style w:type="character" w:styleId="Hyperlink">
    <w:name w:val="Hyperlink"/>
    <w:rsid w:val="002E757F"/>
    <w:rPr>
      <w:color w:val="0000FF"/>
      <w:u w:val="single"/>
    </w:rPr>
  </w:style>
  <w:style w:type="character" w:styleId="Fett">
    <w:name w:val="Strong"/>
    <w:uiPriority w:val="22"/>
    <w:qFormat/>
    <w:rsid w:val="007F6056"/>
    <w:rPr>
      <w:b/>
      <w:bCs/>
    </w:rPr>
  </w:style>
  <w:style w:type="paragraph" w:styleId="NurText">
    <w:name w:val="Plain Text"/>
    <w:basedOn w:val="Standard"/>
    <w:link w:val="NurTextZchn"/>
    <w:uiPriority w:val="99"/>
    <w:rsid w:val="00EA3DAA"/>
    <w:rPr>
      <w:rFonts w:ascii="Courier New" w:hAnsi="Courier New" w:cs="Courier New"/>
      <w:sz w:val="20"/>
      <w:szCs w:val="20"/>
    </w:rPr>
  </w:style>
  <w:style w:type="character" w:customStyle="1" w:styleId="NurTextZchn">
    <w:name w:val="Nur Text Zchn"/>
    <w:link w:val="NurText"/>
    <w:uiPriority w:val="99"/>
    <w:rsid w:val="00EA3DAA"/>
    <w:rPr>
      <w:rFonts w:ascii="Courier New" w:hAnsi="Courier New" w:cs="Courier New"/>
    </w:rPr>
  </w:style>
  <w:style w:type="paragraph" w:styleId="Listenabsatz">
    <w:name w:val="List Paragraph"/>
    <w:basedOn w:val="Standard"/>
    <w:uiPriority w:val="34"/>
    <w:qFormat/>
    <w:rsid w:val="00EE401A"/>
    <w:pPr>
      <w:ind w:left="720"/>
      <w:contextualSpacing/>
    </w:pPr>
    <w:rPr>
      <w:rFonts w:ascii="Calibri" w:eastAsia="Calibri" w:hAnsi="Calibri"/>
      <w:lang w:eastAsia="en-US"/>
    </w:rPr>
  </w:style>
  <w:style w:type="paragraph" w:customStyle="1" w:styleId="xmsonormal">
    <w:name w:val="x_msonormal"/>
    <w:basedOn w:val="Standard"/>
    <w:rsid w:val="00E83FA6"/>
    <w:rPr>
      <w:rFonts w:ascii="Calibri" w:eastAsia="Calibri" w:hAnsi="Calibri" w:cs="Calibri"/>
      <w:sz w:val="22"/>
      <w:szCs w:val="22"/>
    </w:rPr>
  </w:style>
  <w:style w:type="character" w:styleId="NichtaufgelsteErwhnung">
    <w:name w:val="Unresolved Mention"/>
    <w:uiPriority w:val="99"/>
    <w:semiHidden/>
    <w:unhideWhenUsed/>
    <w:rsid w:val="00821C09"/>
    <w:rPr>
      <w:color w:val="605E5C"/>
      <w:shd w:val="clear" w:color="auto" w:fill="E1DFDD"/>
    </w:rPr>
  </w:style>
  <w:style w:type="character" w:styleId="BesuchterLink">
    <w:name w:val="FollowedHyperlink"/>
    <w:rsid w:val="00821C09"/>
    <w:rPr>
      <w:color w:val="954F72"/>
      <w:u w:val="single"/>
    </w:rPr>
  </w:style>
  <w:style w:type="paragraph" w:customStyle="1" w:styleId="Default">
    <w:name w:val="Default"/>
    <w:rsid w:val="001F66D0"/>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281A7C"/>
    <w:pPr>
      <w:spacing w:before="100" w:beforeAutospacing="1" w:after="100" w:afterAutospacing="1"/>
    </w:pPr>
  </w:style>
  <w:style w:type="character" w:customStyle="1" w:styleId="apple-converted-space">
    <w:name w:val="apple-converted-space"/>
    <w:basedOn w:val="Absatz-Standardschriftart"/>
    <w:rsid w:val="0028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8120">
      <w:bodyDiv w:val="1"/>
      <w:marLeft w:val="0"/>
      <w:marRight w:val="0"/>
      <w:marTop w:val="0"/>
      <w:marBottom w:val="0"/>
      <w:divBdr>
        <w:top w:val="none" w:sz="0" w:space="0" w:color="auto"/>
        <w:left w:val="none" w:sz="0" w:space="0" w:color="auto"/>
        <w:bottom w:val="none" w:sz="0" w:space="0" w:color="auto"/>
        <w:right w:val="none" w:sz="0" w:space="0" w:color="auto"/>
      </w:divBdr>
    </w:div>
    <w:div w:id="1017004400">
      <w:bodyDiv w:val="1"/>
      <w:marLeft w:val="0"/>
      <w:marRight w:val="0"/>
      <w:marTop w:val="0"/>
      <w:marBottom w:val="0"/>
      <w:divBdr>
        <w:top w:val="none" w:sz="0" w:space="0" w:color="auto"/>
        <w:left w:val="none" w:sz="0" w:space="0" w:color="auto"/>
        <w:bottom w:val="none" w:sz="0" w:space="0" w:color="auto"/>
        <w:right w:val="none" w:sz="0" w:space="0" w:color="auto"/>
      </w:divBdr>
    </w:div>
    <w:div w:id="1032730405">
      <w:bodyDiv w:val="1"/>
      <w:marLeft w:val="0"/>
      <w:marRight w:val="0"/>
      <w:marTop w:val="0"/>
      <w:marBottom w:val="0"/>
      <w:divBdr>
        <w:top w:val="none" w:sz="0" w:space="0" w:color="auto"/>
        <w:left w:val="none" w:sz="0" w:space="0" w:color="auto"/>
        <w:bottom w:val="none" w:sz="0" w:space="0" w:color="auto"/>
        <w:right w:val="none" w:sz="0" w:space="0" w:color="auto"/>
      </w:divBdr>
    </w:div>
    <w:div w:id="1188132856">
      <w:bodyDiv w:val="1"/>
      <w:marLeft w:val="0"/>
      <w:marRight w:val="0"/>
      <w:marTop w:val="0"/>
      <w:marBottom w:val="0"/>
      <w:divBdr>
        <w:top w:val="none" w:sz="0" w:space="0" w:color="auto"/>
        <w:left w:val="none" w:sz="0" w:space="0" w:color="auto"/>
        <w:bottom w:val="none" w:sz="0" w:space="0" w:color="auto"/>
        <w:right w:val="none" w:sz="0" w:space="0" w:color="auto"/>
      </w:divBdr>
    </w:div>
    <w:div w:id="1862359276">
      <w:bodyDiv w:val="1"/>
      <w:marLeft w:val="0"/>
      <w:marRight w:val="0"/>
      <w:marTop w:val="0"/>
      <w:marBottom w:val="0"/>
      <w:divBdr>
        <w:top w:val="none" w:sz="0" w:space="0" w:color="auto"/>
        <w:left w:val="none" w:sz="0" w:space="0" w:color="auto"/>
        <w:bottom w:val="none" w:sz="0" w:space="0" w:color="auto"/>
        <w:right w:val="none" w:sz="0" w:space="0" w:color="auto"/>
      </w:divBdr>
    </w:div>
    <w:div w:id="19066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bb.de/einkommensrunde/einkommensrunde-2023.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8AF-D178-46C3-AA75-9BBAFDA9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3912</Characters>
  <Application>Microsoft Office Word</Application>
  <DocSecurity>0</DocSecurity>
  <Lines>32</Lines>
  <Paragraphs>9</Paragraphs>
  <ScaleCrop>false</ScaleCrop>
  <Company>Wilke GmbH</Company>
  <LinksUpToDate>false</LinksUpToDate>
  <CharactersWithSpaces>4523</CharactersWithSpaces>
  <SharedDoc>false</SharedDoc>
  <HLinks>
    <vt:vector size="6" baseType="variant">
      <vt:variant>
        <vt:i4>5701641</vt:i4>
      </vt:variant>
      <vt:variant>
        <vt:i4>0</vt:i4>
      </vt:variant>
      <vt:variant>
        <vt:i4>0</vt:i4>
      </vt:variant>
      <vt:variant>
        <vt:i4>5</vt:i4>
      </vt:variant>
      <vt:variant>
        <vt:lpwstr>https://www.dbb.de/einkommensrunde/einkommensrunde-2023.html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m.florissen</dc:creator>
  <cp:keywords/>
  <dc:description/>
  <cp:lastModifiedBy>Matthias Fehl</cp:lastModifiedBy>
  <cp:revision>3</cp:revision>
  <cp:lastPrinted>2023-10-12T08:29:00Z</cp:lastPrinted>
  <dcterms:created xsi:type="dcterms:W3CDTF">2023-10-12T08:29:00Z</dcterms:created>
  <dcterms:modified xsi:type="dcterms:W3CDTF">2023-10-12T08:46:00Z</dcterms:modified>
</cp:coreProperties>
</file>